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sz w:val="24"/>
          <w:szCs w:val="24"/>
          <w:rtl w:val="0"/>
        </w:rPr>
        <w:t xml:space="preserve">Formation à l’Approche narrative</w:t>
      </w:r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Dancing Script" w:cs="Dancing Script" w:eastAsia="Dancing Script" w:hAnsi="Dancing Script"/>
          <w:color w:val="1f3864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sz w:val="24"/>
          <w:szCs w:val="2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Dancing Script" w:cs="Dancing Script" w:eastAsia="Dancing Script" w:hAnsi="Dancing Script"/>
          <w:color w:val="1f3864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sz w:val="24"/>
          <w:szCs w:val="2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3864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Expérimentation 2 :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Une conversation à travers les 3 paysages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4"/>
          <w:szCs w:val="24"/>
          <w:rtl w:val="0"/>
        </w:rPr>
        <w:t xml:space="preserve">En aquarium</w:t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4"/>
          <w:szCs w:val="24"/>
          <w:rtl w:val="0"/>
        </w:rPr>
        <w:t xml:space="preserve">Processus :  </w:t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« Raconte-moi quelque chose qui t’énerve à propos de ce que l’on dit de toi » </w:t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Le coach interroge le client puis invite les participants à poser d’autres questions (sur les 3 paysages) et le client de la séance choisit celle à laquelle il souhaite répondre. </w:t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On liste les questions.</w:t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b w:val="1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4"/>
          <w:szCs w:val="24"/>
          <w:rtl w:val="0"/>
        </w:rPr>
        <w:t xml:space="preserve">Métacommunication : </w:t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Analyse des questions.</w:t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A quel paysage font-elles référence ? Quelles sont celles qui aident à déconstruire les croyances et façons de penser du client ?</w:t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spacing w:line="240" w:lineRule="auto"/>
        <w:rPr>
          <w:rFonts w:ascii="Montserrat" w:cs="Montserrat" w:eastAsia="Montserrat" w:hAnsi="Montserrat"/>
          <w:color w:val="1f3864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4"/>
          <w:szCs w:val="24"/>
          <w:rtl w:val="0"/>
        </w:rPr>
        <w:t xml:space="preserve">Quelles sont-celles qui ouvrent les perspectives (fines traces, exceptions) ?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