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3811</wp:posOffset>
            </wp:positionH>
            <wp:positionV relativeFrom="paragraph">
              <wp:posOffset>3810</wp:posOffset>
            </wp:positionV>
            <wp:extent cx="1616400" cy="17892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65964847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178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Expérimentation 1</w:t>
      </w:r>
    </w:p>
    <w:p w:rsidR="00000000" w:rsidDel="00000000" w:rsidP="00000000" w:rsidRDefault="00000000" w:rsidRPr="00000000" w14:paraId="00000008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IDENTIFICATION DES DISCOURS DOMINANTS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 Light" w:cs="Montserrat Light" w:eastAsia="Montserrat Light" w:hAnsi="Montserrat Light"/>
          <w:i w:val="1"/>
          <w:color w:val="1f3864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1f3864"/>
          <w:sz w:val="26"/>
          <w:szCs w:val="26"/>
          <w:rtl w:val="0"/>
        </w:rPr>
        <w:t xml:space="preserve">Intention</w:t>
      </w:r>
      <w:r w:rsidDel="00000000" w:rsidR="00000000" w:rsidRPr="00000000">
        <w:rPr>
          <w:rFonts w:ascii="Montserrat Light" w:cs="Montserrat Light" w:eastAsia="Montserrat Light" w:hAnsi="Montserrat Light"/>
          <w:i w:val="1"/>
          <w:color w:val="1f3864"/>
          <w:sz w:val="26"/>
          <w:szCs w:val="26"/>
          <w:rtl w:val="0"/>
        </w:rPr>
        <w:t xml:space="preserve"> : </w:t>
      </w:r>
      <w:r w:rsidDel="00000000" w:rsidR="00000000" w:rsidRPr="00000000">
        <w:rPr>
          <w:rFonts w:ascii="Montserrat Light" w:cs="Montserrat Light" w:eastAsia="Montserrat Light" w:hAnsi="Montserrat Light"/>
          <w:i w:val="1"/>
          <w:color w:val="1f3864"/>
          <w:sz w:val="22"/>
          <w:szCs w:val="22"/>
          <w:rtl w:val="0"/>
        </w:rPr>
        <w:t xml:space="preserve">Identifier les discours dominants présentés en séance d’accompagnement par les clients et personnes accompagnées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b w:val="1"/>
          <w:color w:val="1f3864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30"/>
          <w:szCs w:val="30"/>
          <w:rtl w:val="0"/>
        </w:rPr>
        <w:t xml:space="preserve">Consignes :</w:t>
      </w: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En Grand Groupe</w:t>
      </w:r>
      <w:r w:rsidDel="00000000" w:rsidR="00000000" w:rsidRPr="00000000">
        <w:rPr>
          <w:rFonts w:ascii="Cambria" w:cs="Cambria" w:eastAsia="Cambria" w:hAnsi="Cambria"/>
          <w:b w:val="1"/>
          <w:color w:val="1f3864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rPr>
          <w:rFonts w:ascii="Montserrat Light" w:cs="Montserrat Light" w:eastAsia="Montserrat Light" w:hAnsi="Montserrat Light"/>
          <w:color w:val="1f3864"/>
          <w:sz w:val="22"/>
          <w:szCs w:val="22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f3864"/>
          <w:sz w:val="22"/>
          <w:szCs w:val="22"/>
          <w:rtl w:val="0"/>
        </w:rPr>
        <w:t xml:space="preserve">Lister les discours dominants véhiculés dans notre société par rapport à :</w:t>
      </w:r>
    </w:p>
    <w:p w:rsidR="00000000" w:rsidDel="00000000" w:rsidP="00000000" w:rsidRDefault="00000000" w:rsidRPr="00000000" w14:paraId="00000012">
      <w:pPr>
        <w:rPr>
          <w:rFonts w:ascii="Montserrat Light" w:cs="Montserrat Light" w:eastAsia="Montserrat Light" w:hAnsi="Montserrat Light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color w:val="1f3864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Les femmes / les hommes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color w:val="1f3864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Le management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color w:val="1f3864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La famille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color w:val="1f3864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Le travail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color w:val="1f3864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La santé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color w:val="1f3864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La vieillesse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u w:val="none"/>
          <w:shd w:fill="auto" w:val="clear"/>
          <w:vertAlign w:val="baseline"/>
          <w:rtl w:val="0"/>
        </w:rPr>
        <w:t xml:space="preserve">En binômes :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rPr>
          <w:rFonts w:ascii="Montserrat Light" w:cs="Montserrat Light" w:eastAsia="Montserrat Light" w:hAnsi="Montserrat Light"/>
          <w:color w:val="1f3864"/>
          <w:sz w:val="22"/>
          <w:szCs w:val="22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f3864"/>
          <w:sz w:val="22"/>
          <w:szCs w:val="22"/>
          <w:rtl w:val="0"/>
        </w:rPr>
        <w:t xml:space="preserve">Déterminer les discours qui forment la paire (double, antithèse) pour les mettre en tension derridienne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u w:val="none"/>
          <w:shd w:fill="auto" w:val="clear"/>
          <w:vertAlign w:val="baseline"/>
          <w:rtl w:val="0"/>
        </w:rPr>
        <w:t xml:space="preserve">Partage en grand groupe et métacommunication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360" w:lineRule="auto"/>
        <w:jc w:val="both"/>
        <w:rPr>
          <w:rFonts w:ascii="Arial" w:cs="Arial" w:eastAsia="Arial" w:hAnsi="Arial"/>
          <w:color w:val="1f3864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2"/>
          <w:szCs w:val="22"/>
          <w:rtl w:val="0"/>
        </w:rPr>
        <w:t xml:space="preserve">Exemples de discours (croyances limitantes) fréquemment rencontrés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133.858267716535" w:hanging="283.46456692913335"/>
        <w:rPr>
          <w:rFonts w:ascii="Arial" w:cs="Arial" w:eastAsia="Arial" w:hAnsi="Arial"/>
          <w:color w:val="1f3864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1f3864"/>
          <w:sz w:val="19"/>
          <w:szCs w:val="19"/>
          <w:rtl w:val="0"/>
        </w:rPr>
        <w:t xml:space="preserve">Je suis trop vieux /vieille pour changer de métier, reprendre une formation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133.858267716535" w:hanging="300"/>
        <w:rPr>
          <w:rFonts w:ascii="Arial" w:cs="Arial" w:eastAsia="Arial" w:hAnsi="Arial"/>
          <w:color w:val="1f3864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1f3864"/>
          <w:sz w:val="19"/>
          <w:szCs w:val="19"/>
          <w:rtl w:val="0"/>
        </w:rPr>
        <w:t xml:space="preserve">Si je quitte mon emploi, je ne retrouverai jamais de travail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133.858267716535" w:hanging="300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f3864"/>
          <w:sz w:val="19"/>
          <w:szCs w:val="19"/>
          <w:rtl w:val="0"/>
        </w:rPr>
        <w:t xml:space="preserve">On ne fait pas que ce qu’on veut dans la vie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133.858267716535" w:hanging="300"/>
        <w:rPr>
          <w:color w:val="1f38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3864"/>
          <w:sz w:val="10"/>
          <w:szCs w:val="1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f3864"/>
          <w:sz w:val="19"/>
          <w:szCs w:val="19"/>
          <w:rtl w:val="0"/>
        </w:rPr>
        <w:t xml:space="preserve">Il faut travailler dur pour y arriver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133.858267716535" w:hanging="300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f3864"/>
          <w:sz w:val="19"/>
          <w:szCs w:val="19"/>
          <w:rtl w:val="0"/>
        </w:rPr>
        <w:t xml:space="preserve">On ne peut pas vivre de son art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133.858267716535" w:hanging="300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f3864"/>
          <w:sz w:val="19"/>
          <w:szCs w:val="19"/>
          <w:rtl w:val="0"/>
        </w:rPr>
        <w:t xml:space="preserve">Artiste ce n’est pas un métier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133.858267716535" w:hanging="300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f3864"/>
          <w:sz w:val="19"/>
          <w:szCs w:val="19"/>
          <w:rtl w:val="0"/>
        </w:rPr>
        <w:t xml:space="preserve">Je ne suis pas à la hauteur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133.858267716535" w:hanging="300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f3864"/>
          <w:sz w:val="19"/>
          <w:szCs w:val="19"/>
          <w:rtl w:val="0"/>
        </w:rPr>
        <w:t xml:space="preserve">Je n’ai pas le droit à l’échec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133.858267716535" w:hanging="300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f3864"/>
          <w:sz w:val="19"/>
          <w:szCs w:val="19"/>
          <w:rtl w:val="0"/>
        </w:rPr>
        <w:t xml:space="preserve">Tout le monde compte sur moi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133.858267716535" w:hanging="300"/>
        <w:rPr>
          <w:color w:val="1f3864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1f3864"/>
          <w:sz w:val="17"/>
          <w:szCs w:val="17"/>
          <w:rtl w:val="0"/>
        </w:rPr>
        <w:t xml:space="preserve">L’argent c’est sale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133.858267716535" w:hanging="300"/>
        <w:rPr>
          <w:color w:val="1f3864"/>
          <w:u w:val="none"/>
        </w:rPr>
      </w:pPr>
      <w:r w:rsidDel="00000000" w:rsidR="00000000" w:rsidRPr="00000000">
        <w:rPr>
          <w:rFonts w:ascii="Arial" w:cs="Arial" w:eastAsia="Arial" w:hAnsi="Arial"/>
          <w:color w:val="1f3864"/>
          <w:sz w:val="17"/>
          <w:szCs w:val="17"/>
          <w:rtl w:val="0"/>
        </w:rPr>
        <w:t xml:space="preserve">L’argent ne fait pas le bonheur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  <w:font w:name="Dancing Script">
    <w:embedRegular w:fontKey="{00000000-0000-0000-0000-000000000000}" r:id="rId11" w:subsetted="0"/>
    <w:embedBold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65300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fr-FR" w:val="fr-BE"/>
    </w:rPr>
  </w:style>
  <w:style w:type="paragraph" w:styleId="Paragraphedeliste">
    <w:name w:val="List Paragraph"/>
    <w:basedOn w:val="Normal"/>
    <w:uiPriority w:val="34"/>
    <w:qFormat w:val="1"/>
    <w:rsid w:val="0013223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DancingScript-regular.ttf"/><Relationship Id="rId10" Type="http://schemas.openxmlformats.org/officeDocument/2006/relationships/font" Target="fonts/NotoSansSymbols-bold.ttf"/><Relationship Id="rId12" Type="http://schemas.openxmlformats.org/officeDocument/2006/relationships/font" Target="fonts/DancingScript-bold.ttf"/><Relationship Id="rId9" Type="http://schemas.openxmlformats.org/officeDocument/2006/relationships/font" Target="fonts/NotoSansSymbols-regular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setNAbo84jeRA66arKNNRRU2A==">CgMxLjA4AHIhMTFKZmhwcjg3dzdFQkJkSG9DTEpQYlFuS0ZTY3lVYmZP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2023-09-08T08:36:00Z</dcterms:created>
  <dc:creator>Sonia</dc:creator>
</cp:coreProperties>
</file>