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016742709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4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Expérimentation 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40"/>
          <w:szCs w:val="40"/>
          <w:rtl w:val="0"/>
        </w:rPr>
        <w:t xml:space="preserve">Dessine-moi un problème !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color w:val="1f386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  <w:color w:val="1f386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ancing Script" w:cs="Dancing Script" w:eastAsia="Dancing Script" w:hAnsi="Dancing Script"/>
          <w:color w:val="1f3864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28"/>
          <w:szCs w:val="28"/>
          <w:rtl w:val="0"/>
        </w:rPr>
        <w:t xml:space="preserve">Intention de l’expérimentation</w:t>
      </w: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sz w:val="28"/>
          <w:szCs w:val="28"/>
          <w:rtl w:val="0"/>
        </w:rPr>
        <w:t xml:space="preserve"> faire du problème une entité extérieure à la personne qui permet de mettre à distance et d’évaluer le rapport de la personne à son problème identitaire. Le dessin est une métaphore du problème.</w:t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Consignes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u w:val="single"/>
          <w:rtl w:val="0"/>
        </w:rPr>
        <w:t xml:space="preserve">Individuellement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Chaque personne dessine un problème qui le recrute régulièrement (choisir une petite histoire d’agacement que les autres racontent sur vous)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u w:val="single"/>
          <w:rtl w:val="0"/>
        </w:rPr>
        <w:t xml:space="preserve">En binômes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A interroge et converse avec B et inversement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Tissage dans les 3 paysages pour bien cerner la problématique dessinée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</w:rPr>
        <w:drawing>
          <wp:inline distB="114300" distT="114300" distL="114300" distR="114300">
            <wp:extent cx="2819718" cy="1639940"/>
            <wp:effectExtent b="0" l="0" r="0" t="0"/>
            <wp:docPr id="101674270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718" cy="1639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POINT DE VIGILANCE !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Poser une intention dans les questions posées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Faire raconter des anecdotes vécues (attention aux discours sur…, les messages en « on » …,)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Chercher la fine trace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5C03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655C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TSs6WTVLGsxYZd5AuF0zllD3g==">CgMxLjA4AHIhMXlkem1ONEJqRFBJQVA1M2JRZEhIRFRROUNQVHNPQXFL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2023-10-10T08:59:00Z</dcterms:created>
  <dc:creator>Sonia</dc:creator>
</cp:coreProperties>
</file>