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sz w:val="24"/>
          <w:szCs w:val="24"/>
          <w:rtl w:val="0"/>
        </w:rPr>
        <w:t xml:space="preserve">Formation à l’Approche narrative</w:t>
      </w:r>
      <w:r w:rsidDel="00000000" w:rsidR="00000000" w:rsidRPr="00000000">
        <w:rPr>
          <w:rFonts w:ascii="Calibri" w:cs="Calibri" w:eastAsia="Calibri" w:hAnsi="Calibri"/>
          <w:color w:val="1f3864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Dancing Script" w:cs="Dancing Script" w:eastAsia="Dancing Script" w:hAnsi="Dancing Script"/>
          <w:color w:val="1f3864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sz w:val="24"/>
          <w:szCs w:val="2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Dancing Script" w:cs="Dancing Script" w:eastAsia="Dancing Script" w:hAnsi="Dancing Script"/>
          <w:color w:val="1f3864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sz w:val="24"/>
          <w:szCs w:val="2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3864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4"/>
          <w:szCs w:val="24"/>
          <w:rtl w:val="0"/>
        </w:rPr>
        <w:t xml:space="preserve">Expérimentation 3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4"/>
          <w:szCs w:val="24"/>
          <w:rtl w:val="0"/>
        </w:rPr>
        <w:t xml:space="preserve">Une conversation d’externalisation</w:t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4"/>
          <w:szCs w:val="24"/>
          <w:rtl w:val="0"/>
        </w:rPr>
        <w:t xml:space="preserve">En aquarium</w:t>
      </w: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 : le coach converse à propos d’une situation problème.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Les participants sont invités à poser des questions pour aider le coach.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Le client choisit la question à laquelle il souhaite répondre.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On note toutes les questions pour les analyser et identifier à quel paysage elles appartiennent.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" w:cs="Montserrat" w:eastAsia="Montserrat" w:hAnsi="Montserrat"/>
          <w:color w:val="100f0f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00f0f"/>
          <w:sz w:val="24"/>
          <w:szCs w:val="24"/>
          <w:highlight w:val="white"/>
          <w:rtl w:val="0"/>
        </w:rPr>
        <w:t xml:space="preserve">Pour aller plus loin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  <w:color w:val="100f0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https://lafabriquenarrative.org/archives-2019-20/wiki/exemple-dexternalisation-avec-dina-et-benoit.html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lafabriquenarrative.org/archives-2019-20/wiki/exemple-dexternalisation-avec-dina-et-benoit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